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774" w:rsidRPr="00C61B64" w:rsidRDefault="008A2774" w:rsidP="00C61B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1155" w:rsidRPr="00C61B64" w:rsidRDefault="008A277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ab/>
      </w:r>
      <w:r w:rsidRPr="00C61B64">
        <w:rPr>
          <w:rFonts w:ascii="Times New Roman" w:hAnsi="Times New Roman" w:cs="Times New Roman"/>
          <w:b/>
          <w:sz w:val="24"/>
          <w:szCs w:val="24"/>
        </w:rPr>
        <w:t>Rhetoric strategies</w:t>
      </w:r>
    </w:p>
    <w:p w:rsidR="008A2774" w:rsidRPr="00C61B64" w:rsidRDefault="008A2774" w:rsidP="00C61B64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8A2774" w:rsidRPr="00C61B64" w:rsidRDefault="008A2774" w:rsidP="00C61B64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:rsidR="008A2774" w:rsidRPr="00C61B64" w:rsidRDefault="008A2774" w:rsidP="00C61B64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8A2774" w:rsidRPr="00C61B64" w:rsidRDefault="008A2774" w:rsidP="00C61B64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t>Date</w:t>
      </w:r>
    </w:p>
    <w:p w:rsidR="008A2774" w:rsidRPr="00C61B64" w:rsidRDefault="008A277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br w:type="page"/>
      </w:r>
    </w:p>
    <w:p w:rsidR="008A2774" w:rsidRPr="00C61B64" w:rsidRDefault="008A2774" w:rsidP="00C61B64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lastRenderedPageBreak/>
        <w:t>Rhetoric strategies</w:t>
      </w:r>
    </w:p>
    <w:p w:rsidR="008A2774" w:rsidRPr="00C61B64" w:rsidRDefault="00DE510F" w:rsidP="00C61B64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t>Use of landmines</w:t>
      </w:r>
    </w:p>
    <w:p w:rsidR="00DE510F" w:rsidRPr="00C61B64" w:rsidRDefault="00DE510F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>Land mines are forms of explosives. They appear in two major ways</w:t>
      </w:r>
      <w:r w:rsidR="00AF5AA4">
        <w:rPr>
          <w:rFonts w:ascii="Times New Roman" w:hAnsi="Times New Roman" w:cs="Times New Roman"/>
          <w:sz w:val="24"/>
          <w:szCs w:val="24"/>
        </w:rPr>
        <w:t>: anti personal</w:t>
      </w:r>
      <w:r w:rsidR="001D7017" w:rsidRPr="00C61B64">
        <w:rPr>
          <w:rFonts w:ascii="Times New Roman" w:hAnsi="Times New Roman" w:cs="Times New Roman"/>
          <w:sz w:val="24"/>
          <w:szCs w:val="24"/>
        </w:rPr>
        <w:t xml:space="preserve"> landmines and anti vehicle landmines. However, the use of the explosives has been banned by a majority of nations globally due to the adverse effects that they cause.</w:t>
      </w:r>
    </w:p>
    <w:p w:rsidR="00DE510F" w:rsidRPr="00C61B64" w:rsidRDefault="00DE510F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t>Rhetorical strategies noted</w:t>
      </w:r>
    </w:p>
    <w:p w:rsidR="00DE510F" w:rsidRPr="00C61B64" w:rsidRDefault="00DA6DAE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 xml:space="preserve">There is use if chiasmus. The author </w:t>
      </w:r>
      <w:r w:rsidR="00676EAA" w:rsidRPr="00C61B64">
        <w:rPr>
          <w:rFonts w:ascii="Times New Roman" w:hAnsi="Times New Roman" w:cs="Times New Roman"/>
          <w:sz w:val="24"/>
          <w:szCs w:val="24"/>
        </w:rPr>
        <w:t>says, “So too are the financial costs.”</w:t>
      </w:r>
    </w:p>
    <w:p w:rsidR="00676EAA" w:rsidRPr="00C61B64" w:rsidRDefault="00676EAA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>The chiasmus rhetorical strategy is the most useful. This strategy make the readers of the essay actually feel the point that is being driven from the bottom of their hearts.</w:t>
      </w:r>
    </w:p>
    <w:p w:rsidR="00EE7AF4" w:rsidRPr="00C61B64" w:rsidRDefault="00EE7AF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 xml:space="preserve">To make the essay capture the minds of the readers, the writer ought to have used more rhetoric strategies. I cannot say that the writers work was boring. The point that I want to drive is that the work would have been more interesting if he had used numerous rhetoric strategies such as euphemism and irony. </w:t>
      </w:r>
    </w:p>
    <w:p w:rsidR="00EE7AF4" w:rsidRPr="00C61B64" w:rsidRDefault="00EE7AF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 xml:space="preserve">The author has actually distinguished the entire main points in such a way that it was just easy to read through the essay. The explanation of all points is commendable beyond doubt. </w:t>
      </w:r>
      <w:r w:rsidR="00C61B64" w:rsidRPr="00C61B64">
        <w:rPr>
          <w:rFonts w:ascii="Times New Roman" w:hAnsi="Times New Roman" w:cs="Times New Roman"/>
          <w:sz w:val="24"/>
          <w:szCs w:val="24"/>
        </w:rPr>
        <w:t>The</w:t>
      </w:r>
      <w:r w:rsidRPr="00C61B64">
        <w:rPr>
          <w:rFonts w:ascii="Times New Roman" w:hAnsi="Times New Roman" w:cs="Times New Roman"/>
          <w:sz w:val="24"/>
          <w:szCs w:val="24"/>
        </w:rPr>
        <w:t xml:space="preserve"> use of vocabulary is extremely good and suits the right weight of giving a deep explanation where necessary.</w:t>
      </w:r>
    </w:p>
    <w:p w:rsidR="00C61B64" w:rsidRPr="00C61B64" w:rsidRDefault="00EE7AF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>This essay has educative content on the use of landmines. Some of them are burie</w:t>
      </w:r>
      <w:r w:rsidR="00AF5AA4">
        <w:rPr>
          <w:rFonts w:ascii="Times New Roman" w:hAnsi="Times New Roman" w:cs="Times New Roman"/>
          <w:sz w:val="24"/>
          <w:szCs w:val="24"/>
        </w:rPr>
        <w:t>d below the surfaces of the soil</w:t>
      </w:r>
      <w:r w:rsidRPr="00C61B64">
        <w:rPr>
          <w:rFonts w:ascii="Times New Roman" w:hAnsi="Times New Roman" w:cs="Times New Roman"/>
          <w:sz w:val="24"/>
          <w:szCs w:val="24"/>
        </w:rPr>
        <w:t xml:space="preserve"> in the vast open lands and are used to take lives</w:t>
      </w:r>
      <w:r w:rsidR="00C61B64" w:rsidRPr="00C61B64">
        <w:rPr>
          <w:rFonts w:ascii="Times New Roman" w:hAnsi="Times New Roman" w:cs="Times New Roman"/>
          <w:sz w:val="24"/>
          <w:szCs w:val="24"/>
        </w:rPr>
        <w:t>, innocent lives</w:t>
      </w:r>
      <w:r w:rsidR="00AF5AA4">
        <w:rPr>
          <w:rFonts w:ascii="Times New Roman" w:hAnsi="Times New Roman" w:cs="Times New Roman"/>
          <w:sz w:val="24"/>
          <w:szCs w:val="24"/>
        </w:rPr>
        <w:t>,</w:t>
      </w:r>
      <w:r w:rsidR="00C61B64" w:rsidRPr="00C61B64">
        <w:rPr>
          <w:rFonts w:ascii="Times New Roman" w:hAnsi="Times New Roman" w:cs="Times New Roman"/>
          <w:sz w:val="24"/>
          <w:szCs w:val="24"/>
        </w:rPr>
        <w:t xml:space="preserve"> since they cannot be target on a specific individual. The use of mining land mines also has adverse effect</w:t>
      </w:r>
      <w:r w:rsidR="00AF5AA4">
        <w:rPr>
          <w:rFonts w:ascii="Times New Roman" w:hAnsi="Times New Roman" w:cs="Times New Roman"/>
          <w:sz w:val="24"/>
          <w:szCs w:val="24"/>
        </w:rPr>
        <w:t>s</w:t>
      </w:r>
      <w:r w:rsidR="00C61B64" w:rsidRPr="00C61B64">
        <w:rPr>
          <w:rFonts w:ascii="Times New Roman" w:hAnsi="Times New Roman" w:cs="Times New Roman"/>
          <w:sz w:val="24"/>
          <w:szCs w:val="24"/>
        </w:rPr>
        <w:t xml:space="preserve"> on the nature of the environment. On a general note, use of landmines does not have a </w:t>
      </w:r>
      <w:r w:rsidR="00C61B64" w:rsidRPr="00C61B64">
        <w:rPr>
          <w:rFonts w:ascii="Times New Roman" w:hAnsi="Times New Roman" w:cs="Times New Roman"/>
          <w:sz w:val="24"/>
          <w:szCs w:val="24"/>
        </w:rPr>
        <w:lastRenderedPageBreak/>
        <w:t>positive effect. It explains the reason behind the unity of many nations to impose bans on the use of landmines within their areas of jurisdiction.</w:t>
      </w:r>
    </w:p>
    <w:p w:rsidR="00C61B64" w:rsidRPr="00C61B64" w:rsidRDefault="00C61B64" w:rsidP="00C61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br w:type="page"/>
      </w:r>
    </w:p>
    <w:p w:rsidR="00EE7AF4" w:rsidRPr="00C61B64" w:rsidRDefault="00C61B6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61B64" w:rsidRPr="00C61B64" w:rsidRDefault="00C61B6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>Lord, J. E. (</w:t>
      </w:r>
      <w:hyperlink r:id="rId6" w:history="1">
        <w:r w:rsidRPr="00C61B64">
          <w:rPr>
            <w:rStyle w:val="Hyperlink"/>
            <w:rFonts w:ascii="Times New Roman" w:hAnsi="Times New Roman" w:cs="Times New Roman"/>
            <w:sz w:val="24"/>
            <w:szCs w:val="24"/>
          </w:rPr>
          <w:t>1994</w:t>
        </w:r>
      </w:hyperlink>
      <w:r w:rsidRPr="00C61B64">
        <w:rPr>
          <w:rFonts w:ascii="Times New Roman" w:hAnsi="Times New Roman" w:cs="Times New Roman"/>
          <w:sz w:val="24"/>
          <w:szCs w:val="24"/>
        </w:rPr>
        <w:t xml:space="preserve">). Legal Restraints in the Use of Landmines: Humanitarian and Environmental Crisis. Cal. W. Int'l LJ, 25, </w:t>
      </w:r>
      <w:hyperlink r:id="rId7" w:history="1">
        <w:r w:rsidRPr="00C61B64">
          <w:rPr>
            <w:rStyle w:val="Hyperlink"/>
            <w:rFonts w:ascii="Times New Roman" w:hAnsi="Times New Roman" w:cs="Times New Roman"/>
            <w:sz w:val="24"/>
            <w:szCs w:val="24"/>
          </w:rPr>
          <w:t>311</w:t>
        </w:r>
      </w:hyperlink>
      <w:r w:rsidRPr="00C61B64">
        <w:rPr>
          <w:rFonts w:ascii="Times New Roman" w:hAnsi="Times New Roman" w:cs="Times New Roman"/>
          <w:sz w:val="24"/>
          <w:szCs w:val="24"/>
        </w:rPr>
        <w:t>.</w:t>
      </w:r>
    </w:p>
    <w:p w:rsidR="00C61B64" w:rsidRPr="00C61B64" w:rsidRDefault="00C61B6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>Burkhalter, H. (</w:t>
      </w:r>
      <w:hyperlink r:id="rId8" w:history="1">
        <w:r w:rsidRPr="00C61B64">
          <w:rPr>
            <w:rStyle w:val="Hyperlink"/>
            <w:rFonts w:ascii="Times New Roman" w:hAnsi="Times New Roman" w:cs="Times New Roman"/>
            <w:sz w:val="24"/>
            <w:szCs w:val="24"/>
          </w:rPr>
          <w:t>1997</w:t>
        </w:r>
      </w:hyperlink>
      <w:r w:rsidRPr="00C61B64">
        <w:rPr>
          <w:rFonts w:ascii="Times New Roman" w:hAnsi="Times New Roman" w:cs="Times New Roman"/>
          <w:sz w:val="24"/>
          <w:szCs w:val="24"/>
        </w:rPr>
        <w:t xml:space="preserve">). Phantom pain: banning landmines. World Policy Journal, 14(2), </w:t>
      </w:r>
      <w:hyperlink r:id="rId9" w:history="1">
        <w:r w:rsidRPr="00C61B64">
          <w:rPr>
            <w:rStyle w:val="Hyperlink"/>
            <w:rFonts w:ascii="Times New Roman" w:hAnsi="Times New Roman" w:cs="Times New Roman"/>
            <w:sz w:val="24"/>
            <w:szCs w:val="24"/>
          </w:rPr>
          <w:t>30-34</w:t>
        </w:r>
      </w:hyperlink>
      <w:r w:rsidRPr="00C61B64">
        <w:rPr>
          <w:rFonts w:ascii="Times New Roman" w:hAnsi="Times New Roman" w:cs="Times New Roman"/>
          <w:sz w:val="24"/>
          <w:szCs w:val="24"/>
        </w:rPr>
        <w:t>.</w:t>
      </w:r>
    </w:p>
    <w:p w:rsidR="00C61B64" w:rsidRPr="00C61B64" w:rsidRDefault="00C61B6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b/>
          <w:sz w:val="24"/>
          <w:szCs w:val="24"/>
        </w:rPr>
        <w:t>Citations</w:t>
      </w:r>
    </w:p>
    <w:p w:rsidR="00C61B64" w:rsidRPr="00C61B64" w:rsidRDefault="00C61B6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 xml:space="preserve">JE Lord - Cal. W. Int'l LJ, </w:t>
      </w:r>
      <w:hyperlink r:id="rId10" w:history="1">
        <w:r w:rsidRPr="00C61B64">
          <w:rPr>
            <w:rStyle w:val="Hyperlink"/>
            <w:rFonts w:ascii="Times New Roman" w:hAnsi="Times New Roman" w:cs="Times New Roman"/>
            <w:sz w:val="24"/>
            <w:szCs w:val="24"/>
          </w:rPr>
          <w:t>1994</w:t>
        </w:r>
      </w:hyperlink>
      <w:r w:rsidRPr="00C61B64">
        <w:rPr>
          <w:rFonts w:ascii="Times New Roman" w:hAnsi="Times New Roman" w:cs="Times New Roman"/>
          <w:sz w:val="24"/>
          <w:szCs w:val="24"/>
        </w:rPr>
        <w:t xml:space="preserve"> – HeinOnline</w:t>
      </w:r>
    </w:p>
    <w:p w:rsidR="00C61B64" w:rsidRPr="00C61B64" w:rsidRDefault="00C61B64" w:rsidP="00C61B64">
      <w:pPr>
        <w:tabs>
          <w:tab w:val="left" w:pos="35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1B64">
        <w:rPr>
          <w:rFonts w:ascii="Times New Roman" w:hAnsi="Times New Roman" w:cs="Times New Roman"/>
          <w:sz w:val="24"/>
          <w:szCs w:val="24"/>
        </w:rPr>
        <w:t xml:space="preserve">H Burkhalter - World Policy Journal, </w:t>
      </w:r>
      <w:hyperlink r:id="rId11" w:history="1">
        <w:r w:rsidRPr="00C61B64">
          <w:rPr>
            <w:rStyle w:val="Hyperlink"/>
            <w:rFonts w:ascii="Times New Roman" w:hAnsi="Times New Roman" w:cs="Times New Roman"/>
            <w:sz w:val="24"/>
            <w:szCs w:val="24"/>
          </w:rPr>
          <w:t>1997</w:t>
        </w:r>
      </w:hyperlink>
      <w:r w:rsidRPr="00C61B64">
        <w:rPr>
          <w:rFonts w:ascii="Times New Roman" w:hAnsi="Times New Roman" w:cs="Times New Roman"/>
          <w:sz w:val="24"/>
          <w:szCs w:val="24"/>
        </w:rPr>
        <w:t xml:space="preserve"> - JSTOR</w:t>
      </w:r>
    </w:p>
    <w:sectPr w:rsidR="00C61B64" w:rsidRPr="00C61B64" w:rsidSect="008A2774">
      <w:headerReference w:type="default" r:id="rId12"/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35E" w:rsidRDefault="0083335E" w:rsidP="008A2774">
      <w:pPr>
        <w:spacing w:after="0" w:line="240" w:lineRule="auto"/>
      </w:pPr>
      <w:r>
        <w:separator/>
      </w:r>
    </w:p>
  </w:endnote>
  <w:endnote w:type="continuationSeparator" w:id="1">
    <w:p w:rsidR="0083335E" w:rsidRDefault="0083335E" w:rsidP="008A2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F4" w:rsidRDefault="00EE7AF4">
    <w:pPr>
      <w:pStyle w:val="Footer"/>
      <w:jc w:val="right"/>
    </w:pPr>
    <w:r w:rsidRPr="008A2774">
      <w:rPr>
        <w:rFonts w:ascii="Times New Roman" w:hAnsi="Times New Roman" w:cs="Times New Roman"/>
        <w:sz w:val="24"/>
        <w:szCs w:val="24"/>
      </w:rPr>
      <w:t>Rhetoric strategies</w:t>
    </w:r>
    <w:r>
      <w:t xml:space="preserve"> </w:t>
    </w:r>
    <w:r>
      <w:tab/>
    </w:r>
    <w:r>
      <w:tab/>
    </w:r>
    <w:sdt>
      <w:sdtPr>
        <w:id w:val="5562063"/>
        <w:docPartObj>
          <w:docPartGallery w:val="Page Numbers (Bottom of Page)"/>
          <w:docPartUnique/>
        </w:docPartObj>
      </w:sdtPr>
      <w:sdtContent>
        <w:fldSimple w:instr=" PAGE   \* MERGEFORMAT ">
          <w:r w:rsidR="00AF5AA4">
            <w:rPr>
              <w:noProof/>
            </w:rPr>
            <w:t>4</w:t>
          </w:r>
        </w:fldSimple>
      </w:sdtContent>
    </w:sdt>
  </w:p>
  <w:p w:rsidR="00EE7AF4" w:rsidRDefault="00EE7AF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F4" w:rsidRDefault="00EE7AF4">
    <w:pPr>
      <w:pStyle w:val="Footer"/>
    </w:pPr>
    <w:r w:rsidRPr="008A2774">
      <w:rPr>
        <w:rFonts w:ascii="Times New Roman" w:hAnsi="Times New Roman" w:cs="Times New Roman"/>
        <w:sz w:val="24"/>
        <w:szCs w:val="24"/>
      </w:rPr>
      <w:t>Rhetoric strategies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35E" w:rsidRDefault="0083335E" w:rsidP="008A2774">
      <w:pPr>
        <w:spacing w:after="0" w:line="240" w:lineRule="auto"/>
      </w:pPr>
      <w:r>
        <w:separator/>
      </w:r>
    </w:p>
  </w:footnote>
  <w:footnote w:type="continuationSeparator" w:id="1">
    <w:p w:rsidR="0083335E" w:rsidRDefault="0083335E" w:rsidP="008A2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F4" w:rsidRDefault="00EE7AF4">
    <w:pPr>
      <w:pStyle w:val="Header"/>
      <w:jc w:val="right"/>
    </w:pPr>
    <w:r w:rsidRPr="008A2774">
      <w:rPr>
        <w:rFonts w:ascii="Times New Roman" w:hAnsi="Times New Roman" w:cs="Times New Roman"/>
        <w:sz w:val="24"/>
        <w:szCs w:val="24"/>
      </w:rPr>
      <w:t>Rhetoric strategies</w:t>
    </w:r>
    <w:r>
      <w:t xml:space="preserve"> </w:t>
    </w:r>
    <w:r>
      <w:tab/>
    </w:r>
    <w:r>
      <w:tab/>
    </w:r>
    <w:sdt>
      <w:sdtPr>
        <w:id w:val="5562060"/>
        <w:docPartObj>
          <w:docPartGallery w:val="Page Numbers (Top of Page)"/>
          <w:docPartUnique/>
        </w:docPartObj>
      </w:sdtPr>
      <w:sdtContent>
        <w:fldSimple w:instr=" PAGE   \* MERGEFORMAT ">
          <w:r w:rsidR="00AF5AA4">
            <w:rPr>
              <w:noProof/>
            </w:rPr>
            <w:t>4</w:t>
          </w:r>
        </w:fldSimple>
      </w:sdtContent>
    </w:sdt>
  </w:p>
  <w:p w:rsidR="00EE7AF4" w:rsidRPr="008A2774" w:rsidRDefault="00EE7AF4" w:rsidP="008A277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2774"/>
    <w:rsid w:val="001D7017"/>
    <w:rsid w:val="00676EAA"/>
    <w:rsid w:val="006A1155"/>
    <w:rsid w:val="0083335E"/>
    <w:rsid w:val="008A2774"/>
    <w:rsid w:val="0091569E"/>
    <w:rsid w:val="00A50F5E"/>
    <w:rsid w:val="00AF5AA4"/>
    <w:rsid w:val="00C61B64"/>
    <w:rsid w:val="00DA6DAE"/>
    <w:rsid w:val="00DE510F"/>
    <w:rsid w:val="00EE7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774"/>
  </w:style>
  <w:style w:type="paragraph" w:styleId="Footer">
    <w:name w:val="footer"/>
    <w:basedOn w:val="Normal"/>
    <w:link w:val="FooterChar"/>
    <w:uiPriority w:val="99"/>
    <w:unhideWhenUsed/>
    <w:rsid w:val="008A2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774"/>
  </w:style>
  <w:style w:type="character" w:styleId="Hyperlink">
    <w:name w:val="Hyperlink"/>
    <w:basedOn w:val="DefaultParagraphFont"/>
    <w:uiPriority w:val="99"/>
    <w:semiHidden/>
    <w:unhideWhenUsed/>
    <w:rsid w:val="00C61B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1997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tel:311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tel:1994" TargetMode="External"/><Relationship Id="rId11" Type="http://schemas.openxmlformats.org/officeDocument/2006/relationships/hyperlink" Target="tel:1997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tel:1994" TargetMode="External"/><Relationship Id="rId4" Type="http://schemas.openxmlformats.org/officeDocument/2006/relationships/footnotes" Target="footnotes.xml"/><Relationship Id="rId9" Type="http://schemas.openxmlformats.org/officeDocument/2006/relationships/hyperlink" Target="tel:30-3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2020-06-23T19:15:00Z</dcterms:created>
  <dcterms:modified xsi:type="dcterms:W3CDTF">2020-06-23T21:22:00Z</dcterms:modified>
</cp:coreProperties>
</file>